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left" w:pos="3150"/>
        </w:tabs>
        <w:kinsoku/>
        <w:wordWrap/>
        <w:overflowPunct/>
        <w:topLinePunct w:val="0"/>
        <w:autoSpaceDE/>
        <w:autoSpaceDN/>
        <w:bidi w:val="0"/>
        <w:adjustRightInd w:val="0"/>
        <w:snapToGrid w:val="0"/>
        <w:spacing w:before="313" w:beforeLines="100" w:after="313" w:afterLines="100" w:line="560" w:lineRule="exact"/>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广州南沙融资租赁创新服务基地</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一、广州南沙与南沙融资租赁</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仿宋_GB2312"/>
          <w:sz w:val="32"/>
          <w:szCs w:val="32"/>
        </w:rPr>
        <w:t>南沙新区</w:t>
      </w:r>
      <w:r>
        <w:rPr>
          <w:rFonts w:hint="eastAsia" w:eastAsia="仿宋_GB2312"/>
          <w:sz w:val="32"/>
          <w:szCs w:val="32"/>
          <w:lang w:eastAsia="zh-CN"/>
        </w:rPr>
        <w:t>（自贸区）</w:t>
      </w:r>
      <w:r>
        <w:rPr>
          <w:rFonts w:hint="eastAsia" w:eastAsia="仿宋_GB2312"/>
          <w:sz w:val="32"/>
          <w:szCs w:val="32"/>
        </w:rPr>
        <w:t>位于广州市最南端、珠江出海口、大</w:t>
      </w:r>
      <w:r>
        <w:fldChar w:fldCharType="begin"/>
      </w:r>
      <w:r>
        <w:instrText xml:space="preserve"> HYPERLINK "https://baike.baidu.com/item/%E7%8F%A0%E6%B1%9F%E4%B8%89%E8%A7%92%E6%B4%B2" \t "https://baike.baidu.com/item/%E5%8D%97%E6%B2%99%E5%8C%BA/_blank" </w:instrText>
      </w:r>
      <w:r>
        <w:fldChar w:fldCharType="separate"/>
      </w:r>
      <w:r>
        <w:rPr>
          <w:rFonts w:hint="eastAsia" w:eastAsia="仿宋_GB2312"/>
          <w:sz w:val="32"/>
          <w:szCs w:val="32"/>
        </w:rPr>
        <w:t>珠江三角洲</w:t>
      </w:r>
      <w:r>
        <w:rPr>
          <w:rFonts w:hint="eastAsia" w:eastAsia="仿宋_GB2312"/>
          <w:sz w:val="32"/>
          <w:szCs w:val="32"/>
        </w:rPr>
        <w:fldChar w:fldCharType="end"/>
      </w:r>
      <w:r>
        <w:rPr>
          <w:rFonts w:hint="eastAsia" w:eastAsia="仿宋_GB2312"/>
          <w:sz w:val="32"/>
          <w:szCs w:val="32"/>
        </w:rPr>
        <w:t>地理几何中心，是广州市唯一的出海通道，也是连接珠江口两岸</w:t>
      </w:r>
      <w:r>
        <w:fldChar w:fldCharType="begin"/>
      </w:r>
      <w:r>
        <w:instrText xml:space="preserve"> HYPERLINK "https://baike.baidu.com/item/%E5%9F%8E%E5%B8%82%E7%BE%A4/4291670" \t "https://baike.baidu.com/item/%E5%8D%97%E6%B2%99%E5%8C%BA/_blank" </w:instrText>
      </w:r>
      <w:r>
        <w:fldChar w:fldCharType="separate"/>
      </w:r>
      <w:r>
        <w:rPr>
          <w:rFonts w:hint="eastAsia" w:eastAsia="仿宋_GB2312"/>
          <w:sz w:val="32"/>
          <w:szCs w:val="32"/>
        </w:rPr>
        <w:t>城市群</w:t>
      </w:r>
      <w:r>
        <w:rPr>
          <w:rFonts w:hint="eastAsia" w:eastAsia="仿宋_GB2312"/>
          <w:sz w:val="32"/>
          <w:szCs w:val="32"/>
        </w:rPr>
        <w:fldChar w:fldCharType="end"/>
      </w:r>
      <w:r>
        <w:rPr>
          <w:rFonts w:hint="eastAsia" w:eastAsia="仿宋_GB2312"/>
          <w:sz w:val="32"/>
          <w:szCs w:val="32"/>
        </w:rPr>
        <w:t>的重要枢纽，总面积803平方公里，距</w:t>
      </w:r>
      <w:r>
        <w:fldChar w:fldCharType="begin"/>
      </w:r>
      <w:r>
        <w:instrText xml:space="preserve"> HYPERLINK "https://baike.baidu.com/item/%E9%A6%99%E6%B8%AF/128775" \t "https://baike.baidu.com/item/%E5%8D%97%E6%B2%99%E5%8C%BA/_blank" </w:instrText>
      </w:r>
      <w:r>
        <w:fldChar w:fldCharType="separate"/>
      </w:r>
      <w:r>
        <w:rPr>
          <w:rFonts w:hint="eastAsia" w:eastAsia="仿宋_GB2312"/>
          <w:sz w:val="32"/>
          <w:szCs w:val="32"/>
        </w:rPr>
        <w:t>香港</w:t>
      </w:r>
      <w:r>
        <w:rPr>
          <w:rFonts w:hint="eastAsia" w:eastAsia="仿宋_GB2312"/>
          <w:sz w:val="32"/>
          <w:szCs w:val="32"/>
        </w:rPr>
        <w:fldChar w:fldCharType="end"/>
      </w:r>
      <w:r>
        <w:rPr>
          <w:rFonts w:hint="eastAsia" w:eastAsia="仿宋_GB2312"/>
          <w:sz w:val="32"/>
          <w:szCs w:val="32"/>
        </w:rPr>
        <w:t>38海里、</w:t>
      </w:r>
      <w:r>
        <w:fldChar w:fldCharType="begin"/>
      </w:r>
      <w:r>
        <w:instrText xml:space="preserve"> HYPERLINK "https://baike.baidu.com/item/%E6%BE%B3%E9%97%A8/24335" \t "https://baike.baidu.com/item/%E5%8D%97%E6%B2%99%E5%8C%BA/_blank" </w:instrText>
      </w:r>
      <w:r>
        <w:fldChar w:fldCharType="separate"/>
      </w:r>
      <w:r>
        <w:rPr>
          <w:rFonts w:hint="eastAsia" w:eastAsia="仿宋_GB2312"/>
          <w:sz w:val="32"/>
          <w:szCs w:val="32"/>
        </w:rPr>
        <w:t>澳门</w:t>
      </w:r>
      <w:r>
        <w:rPr>
          <w:rFonts w:hint="eastAsia" w:eastAsia="仿宋_GB2312"/>
          <w:sz w:val="32"/>
          <w:szCs w:val="32"/>
        </w:rPr>
        <w:fldChar w:fldCharType="end"/>
      </w:r>
      <w:r>
        <w:rPr>
          <w:rFonts w:hint="eastAsia" w:eastAsia="仿宋_GB2312"/>
          <w:sz w:val="32"/>
          <w:szCs w:val="32"/>
        </w:rPr>
        <w:t>41海里。</w:t>
      </w:r>
      <w:r>
        <w:rPr>
          <w:rFonts w:hint="eastAsia" w:eastAsia="仿宋_GB2312"/>
          <w:sz w:val="32"/>
          <w:szCs w:val="32"/>
          <w:lang w:eastAsia="zh-CN"/>
        </w:rPr>
        <w:t>南沙</w:t>
      </w:r>
      <w:r>
        <w:rPr>
          <w:rFonts w:hint="eastAsia" w:ascii="仿宋_GB2312" w:hAnsi="仿宋_GB2312" w:eastAsia="仿宋_GB2312" w:cs="仿宋_GB2312"/>
          <w:sz w:val="32"/>
          <w:szCs w:val="32"/>
          <w:lang w:val="en-US" w:eastAsia="zh-CN"/>
        </w:rPr>
        <w:t>是国家级新区、中国（广东）自由贸易试验区中面积最大的片区及广州城市副中心。2019年2月18日，中国国务院发布《粤港澳大湾区发展规划纲要》，</w:t>
      </w:r>
      <w:r>
        <w:rPr>
          <w:rFonts w:hint="eastAsia" w:ascii="仿宋_GB2312" w:hAnsi="仿宋_GB2312" w:eastAsia="仿宋_GB2312" w:cs="仿宋_GB2312"/>
          <w:sz w:val="32"/>
          <w:szCs w:val="32"/>
          <w:lang w:eastAsia="zh-CN"/>
        </w:rPr>
        <w:t>赋予了广州南沙打造粤港澳全面合作示范区的历史使命。</w:t>
      </w:r>
    </w:p>
    <w:p>
      <w:pPr>
        <w:pStyle w:val="8"/>
        <w:keepNext w:val="0"/>
        <w:keepLines w:val="0"/>
        <w:pageBreakBefore w:val="0"/>
        <w:widowControl w:val="0"/>
        <w:numPr>
          <w:ilvl w:val="0"/>
          <w:numId w:val="0"/>
        </w:numPr>
        <w:pBdr>
          <w:top w:val="none" w:color="000000" w:sz="0" w:space="0"/>
          <w:left w:val="none" w:color="000000" w:sz="0" w:space="1"/>
          <w:bottom w:val="none" w:color="000000" w:sz="0" w:space="21"/>
          <w:right w:val="none" w:color="000000" w:sz="0" w:space="0"/>
        </w:pBd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华文仿宋" w:eastAsia="仿宋_GB2312" w:cs="Times New Roman"/>
          <w:sz w:val="32"/>
          <w:szCs w:val="32"/>
          <w:lang w:val="en-US" w:eastAsia="zh-CN"/>
        </w:rPr>
      </w:pPr>
      <w:r>
        <w:rPr>
          <w:rFonts w:hint="eastAsia" w:ascii="仿宋_GB2312" w:hAnsi="仿宋_GB2312" w:eastAsia="仿宋_GB2312" w:cs="仿宋_GB2312"/>
          <w:sz w:val="32"/>
          <w:szCs w:val="32"/>
        </w:rPr>
        <w:t>近几年，南沙金融蓬勃发展，</w:t>
      </w:r>
      <w:r>
        <w:rPr>
          <w:rFonts w:hint="default" w:ascii="Times New Roman" w:hAnsi="Times New Roman" w:eastAsia="仿宋_GB2312" w:cs="Times New Roman"/>
          <w:b w:val="0"/>
          <w:bCs w:val="0"/>
          <w:sz w:val="32"/>
          <w:szCs w:val="32"/>
          <w:u w:val="none" w:color="auto"/>
          <w:lang w:eastAsia="zh-CN"/>
        </w:rPr>
        <w:t>金</w:t>
      </w:r>
      <w:r>
        <w:rPr>
          <w:rFonts w:hint="default" w:ascii="Times New Roman" w:hAnsi="Times New Roman" w:eastAsia="仿宋_GB2312" w:cs="Times New Roman"/>
          <w:sz w:val="32"/>
          <w:szCs w:val="32"/>
          <w:u w:val="none" w:color="auto"/>
        </w:rPr>
        <w:t>融和类金融机构</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6470</w:t>
      </w:r>
      <w:r>
        <w:rPr>
          <w:rFonts w:hint="default" w:ascii="Times New Roman" w:hAnsi="Times New Roman" w:eastAsia="仿宋_GB2312" w:cs="Times New Roman"/>
          <w:sz w:val="32"/>
          <w:szCs w:val="32"/>
          <w:u w:val="none" w:color="auto"/>
        </w:rPr>
        <w:t>家</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b w:val="0"/>
          <w:bCs w:val="0"/>
          <w:sz w:val="32"/>
          <w:szCs w:val="32"/>
          <w:u w:val="none" w:color="auto"/>
        </w:rPr>
        <w:t>比</w:t>
      </w:r>
      <w:r>
        <w:rPr>
          <w:rFonts w:hint="eastAsia" w:ascii="Times New Roman" w:hAnsi="Times New Roman" w:eastAsia="仿宋_GB2312" w:cs="Times New Roman"/>
          <w:b w:val="0"/>
          <w:bCs w:val="0"/>
          <w:sz w:val="32"/>
          <w:szCs w:val="32"/>
          <w:u w:val="none" w:color="auto"/>
          <w:lang w:val="en-US" w:eastAsia="zh-CN"/>
        </w:rPr>
        <w:t>2015年</w:t>
      </w:r>
      <w:r>
        <w:rPr>
          <w:rFonts w:hint="default" w:ascii="Times New Roman" w:hAnsi="Times New Roman" w:eastAsia="仿宋_GB2312" w:cs="Times New Roman"/>
          <w:b w:val="0"/>
          <w:bCs w:val="0"/>
          <w:sz w:val="32"/>
          <w:szCs w:val="32"/>
          <w:u w:val="none" w:color="auto"/>
        </w:rPr>
        <w:t>自贸区挂牌前增</w:t>
      </w:r>
      <w:r>
        <w:rPr>
          <w:rFonts w:hint="eastAsia" w:ascii="Times New Roman" w:hAnsi="Times New Roman" w:eastAsia="仿宋_GB2312" w:cs="Times New Roman"/>
          <w:b w:val="0"/>
          <w:bCs w:val="0"/>
          <w:sz w:val="32"/>
          <w:szCs w:val="32"/>
          <w:u w:val="none" w:color="auto"/>
          <w:lang w:eastAsia="zh-CN"/>
        </w:rPr>
        <w:t>长</w:t>
      </w:r>
      <w:r>
        <w:rPr>
          <w:rFonts w:hint="eastAsia" w:ascii="Times New Roman" w:hAnsi="Times New Roman" w:eastAsia="仿宋_GB2312" w:cs="Times New Roman"/>
          <w:b w:val="0"/>
          <w:bCs w:val="0"/>
          <w:sz w:val="32"/>
          <w:szCs w:val="32"/>
          <w:u w:val="none" w:color="auto"/>
          <w:lang w:val="en-US" w:eastAsia="zh-CN"/>
        </w:rPr>
        <w:t>52</w:t>
      </w:r>
      <w:r>
        <w:rPr>
          <w:rFonts w:hint="default" w:ascii="Times New Roman" w:hAnsi="Times New Roman" w:eastAsia="仿宋_GB2312" w:cs="Times New Roman"/>
          <w:b w:val="0"/>
          <w:bCs w:val="0"/>
          <w:sz w:val="32"/>
          <w:szCs w:val="32"/>
          <w:u w:val="none" w:color="auto"/>
        </w:rPr>
        <w:t>倍</w:t>
      </w:r>
      <w:r>
        <w:rPr>
          <w:rFonts w:hint="eastAsia" w:ascii="Times New Roman" w:hAnsi="Times New Roman" w:eastAsia="仿宋_GB2312" w:cs="Times New Roman"/>
          <w:b w:val="0"/>
          <w:bCs w:val="0"/>
          <w:sz w:val="32"/>
          <w:szCs w:val="32"/>
          <w:u w:val="none" w:color="auto"/>
          <w:lang w:eastAsia="zh-CN"/>
        </w:rPr>
        <w:t>，</w:t>
      </w:r>
      <w:r>
        <w:rPr>
          <w:rFonts w:hint="eastAsia" w:ascii="Times New Roman" w:hAnsi="Times New Roman" w:eastAsia="仿宋_GB2312" w:cs="Times New Roman"/>
          <w:b w:val="0"/>
          <w:bCs w:val="0"/>
          <w:sz w:val="32"/>
          <w:szCs w:val="32"/>
          <w:u w:val="none" w:color="auto"/>
          <w:lang w:val="en-US" w:eastAsia="zh-CN"/>
        </w:rPr>
        <w:t>落户了国际金融论坛（IFF）永久会址、国际风险投资中心等一批重大金融平台</w:t>
      </w:r>
      <w:r>
        <w:rPr>
          <w:rFonts w:hint="eastAsia" w:ascii="Times New Roman" w:hAnsi="Times New Roman" w:eastAsia="仿宋_GB2312" w:cs="Times New Roman"/>
          <w:sz w:val="32"/>
          <w:szCs w:val="32"/>
          <w:u w:val="none" w:color="auto"/>
          <w:lang w:eastAsia="zh-CN"/>
        </w:rPr>
        <w:t>。</w:t>
      </w:r>
      <w:r>
        <w:rPr>
          <w:rFonts w:hint="eastAsia" w:ascii="仿宋_GB2312" w:hAnsi="华文仿宋" w:eastAsia="仿宋_GB2312" w:cs="Times New Roman"/>
          <w:sz w:val="32"/>
          <w:szCs w:val="32"/>
        </w:rPr>
        <w:t>融资租赁</w:t>
      </w:r>
      <w:r>
        <w:rPr>
          <w:rFonts w:hint="eastAsia" w:ascii="仿宋_GB2312" w:hAnsi="华文仿宋" w:eastAsia="仿宋_GB2312" w:cs="Times New Roman"/>
          <w:sz w:val="32"/>
          <w:szCs w:val="32"/>
          <w:lang w:val="en-US" w:eastAsia="zh-CN"/>
        </w:rPr>
        <w:t>作为南沙</w:t>
      </w:r>
      <w:r>
        <w:rPr>
          <w:rFonts w:hint="eastAsia" w:ascii="Times New Roman" w:hAnsi="Times New Roman" w:eastAsia="仿宋_GB2312" w:cs="Times New Roman"/>
          <w:i w:val="0"/>
          <w:iCs w:val="0"/>
          <w:sz w:val="32"/>
          <w:szCs w:val="32"/>
          <w:lang w:val="en-US" w:eastAsia="zh-CN"/>
        </w:rPr>
        <w:t>金融创新发展的重要产业，从2015年初的30余家，到目前已落户2177家，注册资金总额超5000亿元，</w:t>
      </w:r>
      <w:r>
        <w:rPr>
          <w:rFonts w:hint="eastAsia" w:eastAsia="仿宋_GB2312" w:cs="Times New Roman"/>
          <w:i w:val="0"/>
          <w:iCs w:val="0"/>
          <w:sz w:val="32"/>
          <w:szCs w:val="32"/>
          <w:lang w:val="en-US" w:eastAsia="zh-CN"/>
        </w:rPr>
        <w:t>集聚了</w:t>
      </w:r>
      <w:r>
        <w:rPr>
          <w:rFonts w:hint="eastAsia" w:ascii="Times New Roman" w:hAnsi="Times New Roman" w:eastAsia="仿宋_GB2312" w:cs="Times New Roman"/>
          <w:i w:val="0"/>
          <w:iCs w:val="0"/>
          <w:sz w:val="32"/>
          <w:szCs w:val="32"/>
          <w:lang w:val="en-US" w:eastAsia="zh-CN"/>
        </w:rPr>
        <w:t>南航集团、中交集团等央企、省市属国企、上市公司</w:t>
      </w:r>
      <w:r>
        <w:rPr>
          <w:rFonts w:hint="eastAsia" w:eastAsia="仿宋_GB2312" w:cs="Times New Roman"/>
          <w:i w:val="0"/>
          <w:iCs w:val="0"/>
          <w:sz w:val="32"/>
          <w:szCs w:val="32"/>
          <w:lang w:val="en-US" w:eastAsia="zh-CN"/>
        </w:rPr>
        <w:t>融资租赁平台</w:t>
      </w:r>
      <w:r>
        <w:rPr>
          <w:rFonts w:hint="eastAsia" w:ascii="Times New Roman" w:hAnsi="Times New Roman" w:eastAsia="仿宋_GB2312" w:cs="Times New Roman"/>
          <w:i w:val="0"/>
          <w:iCs w:val="0"/>
          <w:sz w:val="32"/>
          <w:szCs w:val="32"/>
          <w:lang w:val="en-US" w:eastAsia="zh-CN"/>
        </w:rPr>
        <w:t>。累计完成12</w:t>
      </w:r>
      <w:r>
        <w:rPr>
          <w:rFonts w:hint="eastAsia" w:eastAsia="仿宋_GB2312" w:cs="Times New Roman"/>
          <w:i w:val="0"/>
          <w:iCs w:val="0"/>
          <w:sz w:val="32"/>
          <w:szCs w:val="32"/>
          <w:lang w:val="en-US" w:eastAsia="zh-CN"/>
        </w:rPr>
        <w:t>2</w:t>
      </w:r>
      <w:r>
        <w:rPr>
          <w:rFonts w:hint="eastAsia" w:ascii="Times New Roman" w:hAnsi="Times New Roman" w:eastAsia="仿宋_GB2312" w:cs="Times New Roman"/>
          <w:i w:val="0"/>
          <w:iCs w:val="0"/>
          <w:sz w:val="32"/>
          <w:szCs w:val="32"/>
          <w:lang w:val="en-US" w:eastAsia="zh-CN"/>
        </w:rPr>
        <w:t>架飞机和53艘船舶租赁项目，实现</w:t>
      </w:r>
      <w:r>
        <w:rPr>
          <w:rFonts w:hint="default" w:ascii="Times New Roman" w:hAnsi="Times New Roman" w:eastAsia="仿宋_GB2312" w:cs="Times New Roman"/>
          <w:i w:val="0"/>
          <w:iCs w:val="0"/>
          <w:sz w:val="32"/>
          <w:szCs w:val="32"/>
          <w:lang w:val="en-US" w:eastAsia="zh-CN"/>
        </w:rPr>
        <w:t>全国首单二手飞机混合资产包跨境交易</w:t>
      </w:r>
      <w:r>
        <w:rPr>
          <w:rFonts w:hint="eastAsia" w:ascii="Times New Roman" w:hAnsi="Times New Roman" w:eastAsia="仿宋_GB2312" w:cs="Times New Roman"/>
          <w:i w:val="0"/>
          <w:iCs w:val="0"/>
          <w:sz w:val="32"/>
          <w:szCs w:val="32"/>
          <w:lang w:val="en-US" w:eastAsia="zh-CN"/>
        </w:rPr>
        <w:t>、全国首单境外船舶租赁资产境内美元</w:t>
      </w:r>
      <w:r>
        <w:rPr>
          <w:rFonts w:hint="eastAsia" w:ascii="仿宋_GB2312" w:hAnsi="仿宋_GB2312" w:eastAsia="仿宋_GB2312" w:cs="Times New Roman"/>
          <w:sz w:val="32"/>
          <w:szCs w:val="32"/>
        </w:rPr>
        <w:t>交易</w:t>
      </w:r>
      <w:r>
        <w:rPr>
          <w:rFonts w:hint="eastAsia" w:ascii="仿宋_GB2312" w:hAnsi="仿宋_GB2312" w:eastAsia="仿宋_GB2312" w:cs="Times New Roman"/>
          <w:sz w:val="32"/>
          <w:szCs w:val="32"/>
          <w:lang w:eastAsia="zh-CN"/>
        </w:rPr>
        <w:t>、全国首单</w:t>
      </w:r>
      <w:r>
        <w:rPr>
          <w:rFonts w:hint="eastAsia" w:eastAsia="仿宋_GB2312" w:cs="Times New Roman"/>
          <w:sz w:val="32"/>
          <w:szCs w:val="32"/>
          <w:lang w:val="en-US" w:eastAsia="zh-CN"/>
        </w:rPr>
        <w:t>飞机离岸租赁业务、</w:t>
      </w:r>
      <w:r>
        <w:rPr>
          <w:rFonts w:hint="default" w:ascii="Times New Roman" w:hAnsi="Times New Roman" w:eastAsia="仿宋_GB2312" w:cs="Times New Roman"/>
          <w:color w:val="auto"/>
          <w:sz w:val="32"/>
          <w:szCs w:val="32"/>
          <w:highlight w:val="none"/>
          <w:lang w:eastAsia="zh-CN"/>
        </w:rPr>
        <w:t>粤港澳大湾区首</w:t>
      </w:r>
      <w:r>
        <w:rPr>
          <w:rFonts w:hint="default" w:ascii="Times New Roman" w:hAnsi="Times New Roman" w:eastAsia="仿宋_GB2312" w:cs="Times New Roman"/>
          <w:color w:val="auto"/>
          <w:sz w:val="32"/>
          <w:szCs w:val="32"/>
          <w:highlight w:val="none"/>
          <w:lang w:val="en-US" w:eastAsia="zh-CN"/>
        </w:rPr>
        <w:t>单</w:t>
      </w:r>
      <w:r>
        <w:rPr>
          <w:rFonts w:hint="default" w:ascii="Times New Roman" w:hAnsi="Times New Roman" w:eastAsia="仿宋_GB2312" w:cs="Times New Roman"/>
          <w:color w:val="auto"/>
          <w:sz w:val="32"/>
          <w:szCs w:val="32"/>
          <w:highlight w:val="none"/>
          <w:lang w:eastAsia="zh-CN"/>
        </w:rPr>
        <w:t>“香港+保税港区”飞机跨境转租赁</w:t>
      </w:r>
      <w:r>
        <w:rPr>
          <w:rFonts w:hint="eastAsia" w:eastAsia="仿宋_GB2312" w:cs="Times New Roman"/>
          <w:color w:val="auto"/>
          <w:sz w:val="32"/>
          <w:szCs w:val="32"/>
          <w:highlight w:val="none"/>
          <w:lang w:val="en-US" w:eastAsia="zh-CN"/>
        </w:rPr>
        <w:t>等创新业务</w:t>
      </w:r>
      <w:r>
        <w:rPr>
          <w:rFonts w:hint="default" w:ascii="Times New Roman" w:hAnsi="Times New Roman" w:eastAsia="仿宋_GB2312" w:cs="Times New Roman"/>
          <w:color w:val="auto"/>
          <w:sz w:val="32"/>
          <w:szCs w:val="32"/>
          <w:highlight w:val="none"/>
          <w:lang w:val="en-US" w:eastAsia="zh-CN"/>
        </w:rPr>
        <w:t>。</w:t>
      </w:r>
      <w:r>
        <w:rPr>
          <w:rFonts w:hint="eastAsia" w:ascii="仿宋_GB2312" w:eastAsia="仿宋_GB2312"/>
          <w:sz w:val="32"/>
          <w:szCs w:val="40"/>
        </w:rPr>
        <w:t>业务</w:t>
      </w:r>
      <w:r>
        <w:rPr>
          <w:rFonts w:hint="eastAsia" w:ascii="仿宋_GB2312" w:eastAsia="仿宋_GB2312"/>
          <w:sz w:val="32"/>
          <w:szCs w:val="40"/>
          <w:lang w:val="en-US" w:eastAsia="zh-CN"/>
        </w:rPr>
        <w:t>范围</w:t>
      </w:r>
      <w:r>
        <w:rPr>
          <w:rFonts w:hint="eastAsia" w:ascii="仿宋_GB2312" w:eastAsia="仿宋_GB2312"/>
          <w:sz w:val="32"/>
          <w:szCs w:val="40"/>
        </w:rPr>
        <w:t>涵盖飞机船舶、大型设备，城市基础设施建设，风力发电等环保、新能源领域，服务范围延伸至全国各省市及“一带一路”沿线国家城市</w:t>
      </w:r>
      <w:r>
        <w:rPr>
          <w:rFonts w:hint="eastAsia" w:ascii="仿宋_GB2312" w:eastAsia="仿宋_GB2312"/>
          <w:sz w:val="32"/>
          <w:szCs w:val="40"/>
          <w:lang w:eastAsia="zh-CN"/>
        </w:rPr>
        <w:t>，</w:t>
      </w:r>
      <w:r>
        <w:rPr>
          <w:rFonts w:hint="default" w:ascii="Times New Roman" w:hAnsi="Times New Roman" w:eastAsia="仿宋_GB2312" w:cs="Times New Roman"/>
          <w:color w:val="auto"/>
          <w:sz w:val="32"/>
          <w:szCs w:val="32"/>
          <w:highlight w:val="none"/>
          <w:lang w:val="en-US" w:eastAsia="zh-CN"/>
        </w:rPr>
        <w:t>成为粤港澳大湾区内最大的飞机船舶租赁集聚地</w:t>
      </w:r>
      <w:r>
        <w:rPr>
          <w:rFonts w:hint="eastAsia" w:ascii="仿宋_GB2312" w:hAnsi="华文仿宋" w:eastAsia="仿宋_GB2312" w:cs="Times New Roman"/>
          <w:sz w:val="32"/>
          <w:szCs w:val="32"/>
          <w:lang w:val="en-US" w:eastAsia="zh-CN"/>
        </w:rPr>
        <w:t>。</w:t>
      </w:r>
    </w:p>
    <w:p>
      <w:pPr>
        <w:pStyle w:val="8"/>
        <w:keepNext w:val="0"/>
        <w:keepLines w:val="0"/>
        <w:pageBreakBefore w:val="0"/>
        <w:widowControl w:val="0"/>
        <w:numPr>
          <w:ilvl w:val="0"/>
          <w:numId w:val="0"/>
        </w:numPr>
        <w:pBdr>
          <w:top w:val="none" w:color="000000" w:sz="0" w:space="0"/>
          <w:left w:val="none" w:color="000000" w:sz="0" w:space="1"/>
          <w:bottom w:val="none" w:color="000000" w:sz="0" w:space="21"/>
          <w:right w:val="none" w:color="000000"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000000"/>
          <w:sz w:val="32"/>
          <w:szCs w:val="32"/>
        </w:rPr>
      </w:pPr>
      <w:r>
        <w:rPr>
          <w:rFonts w:hint="eastAsia" w:eastAsia="仿宋_GB2312"/>
          <w:sz w:val="32"/>
          <w:szCs w:val="32"/>
          <w:lang w:val="en-US" w:eastAsia="zh-CN"/>
        </w:rPr>
        <w:t>粤港澳大湾区发展前景广阔，</w:t>
      </w:r>
      <w:r>
        <w:rPr>
          <w:rFonts w:hint="eastAsia" w:ascii="Times New Roman" w:hAnsi="Times New Roman" w:eastAsia="仿宋_GB2312"/>
          <w:sz w:val="32"/>
          <w:szCs w:val="32"/>
          <w:lang w:val="en-US" w:eastAsia="zh-CN"/>
        </w:rPr>
        <w:t>南沙</w:t>
      </w:r>
      <w:r>
        <w:rPr>
          <w:rFonts w:ascii="Times New Roman" w:hAnsi="Times New Roman" w:eastAsia="仿宋_GB2312"/>
          <w:sz w:val="32"/>
          <w:szCs w:val="32"/>
        </w:rPr>
        <w:t>将牢牢把握粤港澳大湾区建设机遇，深化自贸试验区改革开放创新，</w:t>
      </w:r>
      <w:r>
        <w:rPr>
          <w:rFonts w:hint="eastAsia" w:ascii="Times New Roman" w:hAnsi="Times New Roman" w:eastAsia="仿宋_GB2312"/>
          <w:color w:val="000000"/>
          <w:sz w:val="32"/>
          <w:szCs w:val="32"/>
        </w:rPr>
        <w:t>持续优化现代化国际化营商环境，着力</w:t>
      </w:r>
      <w:r>
        <w:rPr>
          <w:rFonts w:ascii="Times New Roman" w:hAnsi="Times New Roman" w:eastAsia="仿宋_GB2312"/>
          <w:sz w:val="32"/>
          <w:szCs w:val="32"/>
        </w:rPr>
        <w:t>提升全球资源要素的配置能力，</w:t>
      </w:r>
      <w:r>
        <w:rPr>
          <w:rFonts w:hint="eastAsia" w:ascii="Times New Roman" w:hAnsi="Times New Roman" w:eastAsia="仿宋_GB2312"/>
          <w:color w:val="000000"/>
          <w:sz w:val="32"/>
          <w:szCs w:val="32"/>
        </w:rPr>
        <w:t>积极为全球企业创造更大的发展空间和市场机遇。</w:t>
      </w:r>
    </w:p>
    <w:p>
      <w:pPr>
        <w:pStyle w:val="8"/>
        <w:keepNext w:val="0"/>
        <w:keepLines w:val="0"/>
        <w:pageBreakBefore w:val="0"/>
        <w:widowControl w:val="0"/>
        <w:numPr>
          <w:ilvl w:val="0"/>
          <w:numId w:val="0"/>
        </w:numPr>
        <w:pBdr>
          <w:top w:val="none" w:color="000000" w:sz="0" w:space="0"/>
          <w:left w:val="none" w:color="000000" w:sz="0" w:space="1"/>
          <w:bottom w:val="none" w:color="000000" w:sz="0" w:space="21"/>
          <w:right w:val="none" w:color="000000"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二、南沙融资租赁创新服务基地</w:t>
      </w:r>
    </w:p>
    <w:p>
      <w:pPr>
        <w:pStyle w:val="8"/>
        <w:keepNext w:val="0"/>
        <w:keepLines w:val="0"/>
        <w:pageBreakBefore w:val="0"/>
        <w:widowControl w:val="0"/>
        <w:numPr>
          <w:ilvl w:val="0"/>
          <w:numId w:val="0"/>
        </w:numPr>
        <w:pBdr>
          <w:top w:val="none" w:color="000000" w:sz="0" w:space="0"/>
          <w:left w:val="none" w:color="000000" w:sz="0" w:space="1"/>
          <w:bottom w:val="none" w:color="000000" w:sz="0" w:space="21"/>
          <w:right w:val="none" w:color="000000"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南沙融资租赁创新服务基地通过集群注册和联合办公模式相结合，以专业服务以及顺畅的信息对接平台吸引融资租赁企业落户南沙。</w:t>
      </w:r>
    </w:p>
    <w:p>
      <w:pPr>
        <w:pStyle w:val="8"/>
        <w:keepNext w:val="0"/>
        <w:keepLines w:val="0"/>
        <w:pageBreakBefore w:val="0"/>
        <w:widowControl w:val="0"/>
        <w:numPr>
          <w:ilvl w:val="0"/>
          <w:numId w:val="0"/>
        </w:numPr>
        <w:pBdr>
          <w:top w:val="none" w:color="000000" w:sz="0" w:space="0"/>
          <w:left w:val="none" w:color="000000" w:sz="0" w:space="1"/>
          <w:bottom w:val="none" w:color="000000" w:sz="0" w:space="21"/>
          <w:right w:val="none" w:color="000000"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kern w:val="2"/>
          <w:sz w:val="32"/>
          <w:szCs w:val="32"/>
          <w:lang w:val="en-US" w:eastAsia="zh-CN" w:bidi="ar-SA"/>
        </w:rPr>
        <w:t>基地搭建了融资租赁产业专业服务团队，为入区融资租赁企业提供企业设立到运营的基础业务全流程帮办服务，实现以“专家+管家”的标准做好融资租赁企业服务；搭建融资租赁信息服务平台，为融资租赁企业提供信息发布、业务交流、融资服务、人员培训、业务创新设计等增值服务；建立完善融资租赁产业的服务体系、业务支持体系，持续优化南沙新区发展融资租赁业的投资环境，</w:t>
      </w:r>
      <w:bookmarkStart w:id="0" w:name="_GoBack"/>
      <w:bookmarkEnd w:id="0"/>
      <w:r>
        <w:rPr>
          <w:rFonts w:hint="eastAsia" w:ascii="仿宋_GB2312" w:hAnsi="仿宋_GB2312" w:eastAsia="仿宋_GB2312" w:cs="仿宋_GB2312"/>
          <w:kern w:val="2"/>
          <w:sz w:val="32"/>
          <w:szCs w:val="32"/>
          <w:lang w:val="en-US" w:eastAsia="zh-CN" w:bidi="ar-SA"/>
        </w:rPr>
        <w:t>将南沙新区打造成为珠三角地区融资租赁业的服务高地、成本洼地和人才聚集地。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E4586"/>
    <w:rsid w:val="039F5EFB"/>
    <w:rsid w:val="08E33EE5"/>
    <w:rsid w:val="38214F70"/>
    <w:rsid w:val="57B72844"/>
    <w:rsid w:val="5A9E049E"/>
    <w:rsid w:val="5EF26571"/>
    <w:rsid w:val="6279104A"/>
    <w:rsid w:val="7BFE45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6" w:lineRule="auto"/>
      <w:outlineLvl w:val="1"/>
    </w:pPr>
    <w:rPr>
      <w:rFonts w:ascii="Cambria" w:hAnsi="Cambria"/>
      <w:b/>
      <w:kern w:val="0"/>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2019-09-11T06:23:00Z</dcterms:created>
  <dc:creator>阿芳</dc:creator>
  <cp:lastModifiedBy>阿芳</cp:lastModifiedBy>
  <cp:lastPrinted>2019-09-17T07:36:56Z</cp:lastPrinted>
  <dcterms:modified xsi:type="dcterms:W3CDTF">2019-09-17T09:42:19Z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